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ct 1039 of 2017 Reporting By Schools  (Ark. Code Ann. § 6-41-606 (b)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riendship Aspire Arkans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yslexia Progr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uring the 2022-2023 school year, Friendship Aspire Arkansas Public Charter Schools used th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videnced-based Take Flight Dyslexia Intervention Program and Alphabetic Phonics Dyslexia Intervention Program in small group intervention to address the deficit areas of students identified as exhibiting the characteristics of dyslexi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ber of Students Who Received Dyslexia Interven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ing the 2022-2023 school year, 31 students attending Friendship Aspire Arkansas Public Charter Schools received dyslexia intervention services from a trained dyslexi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terventionis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otal Number of Students Identified as Exhibiting the Characteristics of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yslexia During the 2022-2023, school year, 31 students attending  Friendship Aspire Arkansas Public Charter Schools were identified as exhibiting the characteristics of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yslexi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